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C3F" w:rsidRDefault="000179C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B67C3F" w:rsidRDefault="000179C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1.004259</w:t>
      </w:r>
    </w:p>
    <w:p w:rsidR="00B67C3F" w:rsidRDefault="000179C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902/QĐ-BXD</w:t>
      </w:r>
    </w:p>
    <w:p w:rsidR="00B67C3F" w:rsidRDefault="000179C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Giấy phép vận tải qua biên giới</w:t>
      </w:r>
    </w:p>
    <w:p w:rsidR="00B67C3F" w:rsidRDefault="000179C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B67C3F" w:rsidRDefault="000179C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B67C3F" w:rsidRDefault="000179C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B67C3F" w:rsidRDefault="000179C2">
      <w:pPr>
        <w:spacing w:after="0" w:line="276" w:lineRule="auto"/>
        <w:jc w:val="both"/>
      </w:pPr>
      <w:r>
        <w:rPr>
          <w:rFonts w:ascii="Times New Roman" w:eastAsia="Times New Roman" w:hAnsi="Times New Roman" w:cs="Times New Roman"/>
          <w:b/>
          <w:sz w:val="26"/>
        </w:rPr>
        <w:t xml:space="preserve">Trình tự thực hiện: </w:t>
      </w:r>
    </w:p>
    <w:p w:rsidR="00B67C3F" w:rsidRDefault="000179C2">
      <w:pPr>
        <w:shd w:val="clear" w:color="auto" w:fill="F2F6F9"/>
        <w:spacing w:before="120" w:after="0" w:line="276" w:lineRule="auto"/>
        <w:jc w:val="both"/>
      </w:pPr>
      <w:r>
        <w:rPr>
          <w:rFonts w:ascii="Times New Roman" w:eastAsia="Times New Roman" w:hAnsi="Times New Roman" w:cs="Times New Roman"/>
          <w:b/>
          <w:sz w:val="26"/>
        </w:rPr>
        <w:t>a) Nộp hồ sơ TTHC:</w:t>
      </w:r>
    </w:p>
    <w:p w:rsidR="00B67C3F" w:rsidRDefault="000179C2">
      <w:pPr>
        <w:spacing w:after="0" w:line="276" w:lineRule="auto"/>
        <w:jc w:val="both"/>
      </w:pPr>
      <w:r>
        <w:rPr>
          <w:rFonts w:ascii="Times New Roman" w:eastAsia="Times New Roman" w:hAnsi="Times New Roman" w:cs="Times New Roman"/>
          <w:sz w:val="26"/>
        </w:rPr>
        <w:t>Hết thời hạn của Giấy phép hoặc Giấy phép hư hỏng hoặc mất Giấy phép, tổ chức, cá nhân gửi hồ sơ đề nghị cấp Giấy phép vận tải qua biên giới đến Sở xây dựng.</w:t>
      </w:r>
    </w:p>
    <w:p w:rsidR="00B67C3F" w:rsidRDefault="000179C2">
      <w:pPr>
        <w:shd w:val="clear" w:color="auto" w:fill="F2F6F9"/>
        <w:spacing w:before="120" w:after="0" w:line="276" w:lineRule="auto"/>
        <w:jc w:val="both"/>
      </w:pPr>
      <w:r>
        <w:rPr>
          <w:rFonts w:ascii="Times New Roman" w:eastAsia="Times New Roman" w:hAnsi="Times New Roman" w:cs="Times New Roman"/>
          <w:b/>
          <w:sz w:val="26"/>
        </w:rPr>
        <w:t>b) Giải quyết TTHC:</w:t>
      </w:r>
    </w:p>
    <w:p w:rsidR="00B67C3F" w:rsidRDefault="000179C2">
      <w:pPr>
        <w:spacing w:after="0" w:line="276" w:lineRule="auto"/>
        <w:jc w:val="both"/>
      </w:pPr>
      <w:r>
        <w:rPr>
          <w:rFonts w:ascii="Times New Roman" w:eastAsia="Times New Roman" w:hAnsi="Times New Roman" w:cs="Times New Roman"/>
          <w:sz w:val="26"/>
        </w:rPr>
        <w:t>Sở xây dựng tiếp nhận, kiểm tra hồ sơ.</w:t>
      </w:r>
      <w:r>
        <w:rPr>
          <w:rFonts w:ascii="Times New Roman" w:eastAsia="Times New Roman" w:hAnsi="Times New Roman" w:cs="Times New Roman"/>
          <w:sz w:val="26"/>
        </w:rPr>
        <w:t xml:space="preserve"> Trường hợp hồ sơ chưa đầy đủ theo quy định thì hướng dẫn hoàn thiện trong thời hạn 01 (một) ngày làm việc, kể từ ngày nhận được hồ sơ. Trường hợp hồ sơ đầy đủ theo quy định thì Sở xây dựng cấp giấy phép trong thời hạn 03 (ba) ngày làm việc kể từ ngày nhận</w:t>
      </w:r>
      <w:r>
        <w:rPr>
          <w:rFonts w:ascii="Times New Roman" w:eastAsia="Times New Roman" w:hAnsi="Times New Roman" w:cs="Times New Roman"/>
          <w:sz w:val="26"/>
        </w:rPr>
        <w:t xml:space="preserve"> được hồ sơ và gửi trực tiếp hoặc qua hệ thống bưu chính hoặc qua hệ thống dịch vụ công trực tuyến đến tổ chức, cá nhân. Trường hợp không cấp Giấy phép, Sở xây dựng phải trả lời bằng văn bản và nêu rõ lý do.</w:t>
      </w:r>
    </w:p>
    <w:p w:rsidR="00B67C3F" w:rsidRDefault="000179C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62"/>
        <w:gridCol w:w="1505"/>
        <w:gridCol w:w="2392"/>
        <w:gridCol w:w="4052"/>
      </w:tblGrid>
      <w:tr w:rsidR="00B67C3F">
        <w:tblPrEx>
          <w:tblCellMar>
            <w:top w:w="0" w:type="dxa"/>
            <w:bottom w:w="0" w:type="dxa"/>
          </w:tblCellMar>
        </w:tblPrEx>
        <w:tc>
          <w:tcPr>
            <w:tcW w:w="1500" w:type="dxa"/>
          </w:tcPr>
          <w:p w:rsidR="00B67C3F" w:rsidRDefault="00B67C3F"/>
          <w:p w:rsidR="00B67C3F" w:rsidRDefault="000179C2">
            <w:pPr>
              <w:spacing w:after="0" w:line="276" w:lineRule="auto"/>
              <w:jc w:val="center"/>
            </w:pPr>
            <w:r>
              <w:rPr>
                <w:rFonts w:ascii="Times New Roman" w:eastAsia="Times New Roman" w:hAnsi="Times New Roman" w:cs="Times New Roman"/>
                <w:b/>
                <w:sz w:val="26"/>
              </w:rPr>
              <w:t>Hình thức nộp</w:t>
            </w:r>
          </w:p>
        </w:tc>
        <w:tc>
          <w:tcPr>
            <w:tcW w:w="2000" w:type="dxa"/>
          </w:tcPr>
          <w:p w:rsidR="00B67C3F" w:rsidRDefault="00B67C3F"/>
          <w:p w:rsidR="00B67C3F" w:rsidRDefault="000179C2">
            <w:pPr>
              <w:spacing w:after="0" w:line="276" w:lineRule="auto"/>
              <w:jc w:val="center"/>
            </w:pPr>
            <w:r>
              <w:rPr>
                <w:rFonts w:ascii="Times New Roman" w:eastAsia="Times New Roman" w:hAnsi="Times New Roman" w:cs="Times New Roman"/>
                <w:b/>
                <w:sz w:val="26"/>
              </w:rPr>
              <w:t>Thời hạn g</w:t>
            </w:r>
            <w:r>
              <w:rPr>
                <w:rFonts w:ascii="Times New Roman" w:eastAsia="Times New Roman" w:hAnsi="Times New Roman" w:cs="Times New Roman"/>
                <w:b/>
                <w:sz w:val="26"/>
              </w:rPr>
              <w:t>iải quyết</w:t>
            </w:r>
          </w:p>
        </w:tc>
        <w:tc>
          <w:tcPr>
            <w:tcW w:w="3500" w:type="dxa"/>
          </w:tcPr>
          <w:p w:rsidR="00B67C3F" w:rsidRDefault="00B67C3F"/>
          <w:p w:rsidR="00B67C3F" w:rsidRDefault="000179C2">
            <w:pPr>
              <w:spacing w:after="0" w:line="276" w:lineRule="auto"/>
              <w:jc w:val="center"/>
            </w:pPr>
            <w:r>
              <w:rPr>
                <w:rFonts w:ascii="Times New Roman" w:eastAsia="Times New Roman" w:hAnsi="Times New Roman" w:cs="Times New Roman"/>
                <w:b/>
                <w:sz w:val="26"/>
              </w:rPr>
              <w:t>Phí, lệ phí</w:t>
            </w:r>
          </w:p>
        </w:tc>
        <w:tc>
          <w:tcPr>
            <w:tcW w:w="3000" w:type="dxa"/>
          </w:tcPr>
          <w:p w:rsidR="00B67C3F" w:rsidRDefault="00B67C3F"/>
          <w:p w:rsidR="00B67C3F" w:rsidRDefault="000179C2">
            <w:pPr>
              <w:spacing w:after="0" w:line="276" w:lineRule="auto"/>
              <w:jc w:val="center"/>
            </w:pPr>
            <w:r>
              <w:rPr>
                <w:rFonts w:ascii="Times New Roman" w:eastAsia="Times New Roman" w:hAnsi="Times New Roman" w:cs="Times New Roman"/>
                <w:b/>
                <w:sz w:val="26"/>
              </w:rPr>
              <w:t>Mô tả</w:t>
            </w:r>
          </w:p>
        </w:tc>
      </w:tr>
      <w:tr w:rsidR="00B67C3F">
        <w:tblPrEx>
          <w:tblCellMar>
            <w:top w:w="0" w:type="dxa"/>
            <w:bottom w:w="0" w:type="dxa"/>
          </w:tblCellMar>
        </w:tblPrEx>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Trực tiếp</w:t>
            </w: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3 Ngày làm việc</w:t>
            </w:r>
          </w:p>
        </w:tc>
        <w:tc>
          <w:tcPr>
            <w:tcW w:w="0" w:type="auto"/>
          </w:tcPr>
          <w:p w:rsidR="00B67C3F" w:rsidRDefault="00B67C3F"/>
          <w:p w:rsidR="00B67C3F" w:rsidRDefault="00B67C3F">
            <w:pPr>
              <w:spacing w:after="0" w:line="276" w:lineRule="auto"/>
            </w:pP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03 (ba) ngày làm việc kể từ ngày nhận được hồ sơ đầy đủ.</w:t>
            </w:r>
          </w:p>
        </w:tc>
      </w:tr>
      <w:tr w:rsidR="00B67C3F">
        <w:tblPrEx>
          <w:tblCellMar>
            <w:top w:w="0" w:type="dxa"/>
            <w:bottom w:w="0" w:type="dxa"/>
          </w:tblCellMar>
        </w:tblPrEx>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Trực tuyến</w:t>
            </w: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3 Ngày làm việc</w:t>
            </w:r>
          </w:p>
        </w:tc>
        <w:tc>
          <w:tcPr>
            <w:tcW w:w="0" w:type="auto"/>
          </w:tcPr>
          <w:p w:rsidR="00B67C3F" w:rsidRDefault="00B67C3F"/>
          <w:p w:rsidR="00B67C3F" w:rsidRDefault="00B67C3F">
            <w:pPr>
              <w:spacing w:after="0" w:line="276" w:lineRule="auto"/>
            </w:pP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03 (ba) ngày làm việc kể từ ngày nhận được hồ sơ đầy đủ.</w:t>
            </w:r>
          </w:p>
        </w:tc>
      </w:tr>
      <w:tr w:rsidR="00B67C3F">
        <w:tblPrEx>
          <w:tblCellMar>
            <w:top w:w="0" w:type="dxa"/>
            <w:bottom w:w="0" w:type="dxa"/>
          </w:tblCellMar>
        </w:tblPrEx>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Dịch vụ bưu chính</w:t>
            </w: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3 Ngày làm việc</w:t>
            </w:r>
          </w:p>
        </w:tc>
        <w:tc>
          <w:tcPr>
            <w:tcW w:w="0" w:type="auto"/>
          </w:tcPr>
          <w:p w:rsidR="00B67C3F" w:rsidRDefault="00B67C3F"/>
          <w:p w:rsidR="00B67C3F" w:rsidRDefault="00B67C3F">
            <w:pPr>
              <w:spacing w:after="0" w:line="276" w:lineRule="auto"/>
            </w:pP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03 (ba)</w:t>
            </w:r>
            <w:r>
              <w:rPr>
                <w:rFonts w:ascii="Times New Roman" w:eastAsia="Times New Roman" w:hAnsi="Times New Roman" w:cs="Times New Roman"/>
                <w:sz w:val="26"/>
              </w:rPr>
              <w:t xml:space="preserve"> ngày làm việc kể từ ngày nhận được hồ sơ đầy đủ.</w:t>
            </w:r>
          </w:p>
        </w:tc>
      </w:tr>
    </w:tbl>
    <w:p w:rsidR="00B67C3F" w:rsidRDefault="000179C2">
      <w:pPr>
        <w:spacing w:before="240" w:after="0" w:line="276" w:lineRule="auto"/>
        <w:jc w:val="both"/>
      </w:pPr>
      <w:r>
        <w:rPr>
          <w:rFonts w:ascii="Times New Roman" w:eastAsia="Times New Roman" w:hAnsi="Times New Roman" w:cs="Times New Roman"/>
          <w:b/>
          <w:sz w:val="26"/>
        </w:rPr>
        <w:t xml:space="preserve">Thành phần hồ sơ: </w:t>
      </w:r>
    </w:p>
    <w:p w:rsidR="00B67C3F" w:rsidRDefault="000179C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980"/>
        <w:gridCol w:w="1473"/>
        <w:gridCol w:w="958"/>
      </w:tblGrid>
      <w:tr w:rsidR="00B67C3F">
        <w:tblPrEx>
          <w:tblCellMar>
            <w:top w:w="0" w:type="dxa"/>
            <w:bottom w:w="0" w:type="dxa"/>
          </w:tblCellMar>
        </w:tblPrEx>
        <w:tc>
          <w:tcPr>
            <w:tcW w:w="6000" w:type="dxa"/>
          </w:tcPr>
          <w:p w:rsidR="00B67C3F" w:rsidRDefault="00B67C3F"/>
          <w:p w:rsidR="00B67C3F" w:rsidRDefault="000179C2">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rsidR="00B67C3F" w:rsidRDefault="00B67C3F"/>
          <w:p w:rsidR="00B67C3F" w:rsidRDefault="000179C2">
            <w:pPr>
              <w:spacing w:after="0" w:line="276" w:lineRule="auto"/>
              <w:jc w:val="center"/>
            </w:pPr>
            <w:r>
              <w:rPr>
                <w:rFonts w:ascii="Times New Roman" w:eastAsia="Times New Roman" w:hAnsi="Times New Roman" w:cs="Times New Roman"/>
                <w:b/>
                <w:sz w:val="26"/>
              </w:rPr>
              <w:lastRenderedPageBreak/>
              <w:t>Mẫu đơn, tờ khai</w:t>
            </w:r>
          </w:p>
        </w:tc>
        <w:tc>
          <w:tcPr>
            <w:tcW w:w="2000" w:type="dxa"/>
          </w:tcPr>
          <w:p w:rsidR="00B67C3F" w:rsidRDefault="00B67C3F"/>
          <w:p w:rsidR="00B67C3F" w:rsidRDefault="000179C2">
            <w:pPr>
              <w:spacing w:after="0" w:line="276" w:lineRule="auto"/>
              <w:jc w:val="center"/>
            </w:pPr>
            <w:r>
              <w:rPr>
                <w:rFonts w:ascii="Times New Roman" w:eastAsia="Times New Roman" w:hAnsi="Times New Roman" w:cs="Times New Roman"/>
                <w:b/>
                <w:sz w:val="26"/>
              </w:rPr>
              <w:lastRenderedPageBreak/>
              <w:t>Số lượng</w:t>
            </w:r>
          </w:p>
        </w:tc>
      </w:tr>
      <w:tr w:rsidR="00B67C3F">
        <w:tblPrEx>
          <w:tblCellMar>
            <w:top w:w="0" w:type="dxa"/>
            <w:bottom w:w="0" w:type="dxa"/>
          </w:tblCellMar>
        </w:tblPrEx>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 Bản chính hoặc biểu mẫu điện tử Đơn đề nghị cấp Giấy phép vận tải qua biên giới cho phương tiện theo mẫu quy định;</w:t>
            </w: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Mauon.docx</w:t>
            </w: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67C3F">
        <w:tblPrEx>
          <w:tblCellMar>
            <w:top w:w="0" w:type="dxa"/>
            <w:bottom w:w="0" w:type="dxa"/>
          </w:tblCellMar>
        </w:tblPrEx>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 Bản sao hoặc bản sao điện tử Giấy chứng nhận đăng ký phương tiện;</w:t>
            </w:r>
          </w:p>
        </w:tc>
        <w:tc>
          <w:tcPr>
            <w:tcW w:w="0" w:type="auto"/>
          </w:tcPr>
          <w:p w:rsidR="00B67C3F" w:rsidRDefault="00B67C3F"/>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B67C3F">
        <w:tblPrEx>
          <w:tblCellMar>
            <w:top w:w="0" w:type="dxa"/>
            <w:bottom w:w="0" w:type="dxa"/>
          </w:tblCellMar>
        </w:tblPrEx>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 Bản sao hoặc bản sao điện tử Giấy chứng nhận an toàn kỹ thuật và bảo vệ môi trường;</w:t>
            </w:r>
          </w:p>
        </w:tc>
        <w:tc>
          <w:tcPr>
            <w:tcW w:w="0" w:type="auto"/>
          </w:tcPr>
          <w:p w:rsidR="00B67C3F" w:rsidRDefault="00B67C3F"/>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B67C3F">
        <w:tblPrEx>
          <w:tblCellMar>
            <w:top w:w="0" w:type="dxa"/>
            <w:bottom w:w="0" w:type="dxa"/>
          </w:tblCellMar>
        </w:tblPrEx>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 xml:space="preserve">- Bản sao hoặc bản </w:t>
            </w:r>
            <w:r>
              <w:rPr>
                <w:rFonts w:ascii="Times New Roman" w:eastAsia="Times New Roman" w:hAnsi="Times New Roman" w:cs="Times New Roman"/>
                <w:sz w:val="26"/>
              </w:rPr>
              <w:t>sao điện tử Giấy chứng nhận bảo hiểm trách nhiệm dân sự của người kinh doanh vận tải hàng hóa dễ cháy, dễ nổ đối với người thứ ba; bản sao Giấy chứng nhận bảo hiểm trách nhiệm dân sự bắt buộc của người kinh doanh vận tải hành khách đối với hành khách.</w:t>
            </w:r>
          </w:p>
        </w:tc>
        <w:tc>
          <w:tcPr>
            <w:tcW w:w="0" w:type="auto"/>
          </w:tcPr>
          <w:p w:rsidR="00B67C3F" w:rsidRDefault="00B67C3F"/>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Bả</w:t>
            </w:r>
            <w:r>
              <w:rPr>
                <w:rFonts w:ascii="Times New Roman" w:eastAsia="Times New Roman" w:hAnsi="Times New Roman" w:cs="Times New Roman"/>
                <w:sz w:val="26"/>
              </w:rPr>
              <w:t>n chính: 0</w:t>
            </w:r>
            <w:r>
              <w:rPr>
                <w:rFonts w:ascii="Times New Roman" w:eastAsia="Times New Roman" w:hAnsi="Times New Roman" w:cs="Times New Roman"/>
                <w:sz w:val="26"/>
              </w:rPr>
              <w:br/>
              <w:t>Bản sao: 1</w:t>
            </w:r>
          </w:p>
        </w:tc>
      </w:tr>
    </w:tbl>
    <w:p w:rsidR="00B67C3F" w:rsidRDefault="000179C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Doanh nghiệp có vốn đầu tư nước ngoài, Tổ chức (không bao gồm doanh nghiệp, HTX), Tổ chức nước ngoài, Hợp tác xã</w:t>
      </w:r>
    </w:p>
    <w:p w:rsidR="00B67C3F" w:rsidRDefault="000179C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B67C3F" w:rsidRDefault="000179C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B67C3F" w:rsidRDefault="000179C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B67C3F" w:rsidRDefault="000179C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B67C3F" w:rsidRDefault="000179C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B67C3F" w:rsidRDefault="000179C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vận tải qua biên giới</w:t>
      </w:r>
    </w:p>
    <w:p w:rsidR="00B67C3F" w:rsidRDefault="000179C2">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31"/>
        <w:gridCol w:w="5983"/>
        <w:gridCol w:w="786"/>
        <w:gridCol w:w="1111"/>
      </w:tblGrid>
      <w:tr w:rsidR="00B67C3F">
        <w:tblPrEx>
          <w:tblCellMar>
            <w:top w:w="0" w:type="dxa"/>
            <w:bottom w:w="0" w:type="dxa"/>
          </w:tblCellMar>
        </w:tblPrEx>
        <w:tc>
          <w:tcPr>
            <w:tcW w:w="2000" w:type="dxa"/>
          </w:tcPr>
          <w:p w:rsidR="00B67C3F" w:rsidRDefault="00B67C3F"/>
          <w:p w:rsidR="00B67C3F" w:rsidRDefault="000179C2">
            <w:pPr>
              <w:spacing w:after="0" w:line="276" w:lineRule="auto"/>
              <w:jc w:val="center"/>
            </w:pPr>
            <w:r>
              <w:rPr>
                <w:rFonts w:ascii="Times New Roman" w:eastAsia="Times New Roman" w:hAnsi="Times New Roman" w:cs="Times New Roman"/>
                <w:b/>
                <w:sz w:val="26"/>
              </w:rPr>
              <w:t>Số ký hiệu</w:t>
            </w:r>
          </w:p>
        </w:tc>
        <w:tc>
          <w:tcPr>
            <w:tcW w:w="3500" w:type="dxa"/>
          </w:tcPr>
          <w:p w:rsidR="00B67C3F" w:rsidRDefault="00B67C3F"/>
          <w:p w:rsidR="00B67C3F" w:rsidRDefault="000179C2">
            <w:pPr>
              <w:spacing w:after="0" w:line="276" w:lineRule="auto"/>
              <w:jc w:val="center"/>
            </w:pPr>
            <w:r>
              <w:rPr>
                <w:rFonts w:ascii="Times New Roman" w:eastAsia="Times New Roman" w:hAnsi="Times New Roman" w:cs="Times New Roman"/>
                <w:b/>
                <w:sz w:val="26"/>
              </w:rPr>
              <w:t>Trích yếu</w:t>
            </w:r>
          </w:p>
        </w:tc>
        <w:tc>
          <w:tcPr>
            <w:tcW w:w="1500" w:type="dxa"/>
          </w:tcPr>
          <w:p w:rsidR="00B67C3F" w:rsidRDefault="00B67C3F"/>
          <w:p w:rsidR="00B67C3F" w:rsidRDefault="000179C2">
            <w:pPr>
              <w:spacing w:after="0" w:line="276" w:lineRule="auto"/>
              <w:jc w:val="center"/>
            </w:pPr>
            <w:r>
              <w:rPr>
                <w:rFonts w:ascii="Times New Roman" w:eastAsia="Times New Roman" w:hAnsi="Times New Roman" w:cs="Times New Roman"/>
                <w:b/>
                <w:sz w:val="26"/>
              </w:rPr>
              <w:t>Ngày ban hành</w:t>
            </w:r>
          </w:p>
        </w:tc>
        <w:tc>
          <w:tcPr>
            <w:tcW w:w="3000" w:type="dxa"/>
          </w:tcPr>
          <w:p w:rsidR="00B67C3F" w:rsidRDefault="00B67C3F"/>
          <w:p w:rsidR="00B67C3F" w:rsidRDefault="000179C2">
            <w:pPr>
              <w:spacing w:after="0" w:line="276" w:lineRule="auto"/>
              <w:jc w:val="center"/>
            </w:pPr>
            <w:r>
              <w:rPr>
                <w:rFonts w:ascii="Times New Roman" w:eastAsia="Times New Roman" w:hAnsi="Times New Roman" w:cs="Times New Roman"/>
                <w:b/>
                <w:sz w:val="26"/>
              </w:rPr>
              <w:t>Cơ quan ban hành</w:t>
            </w:r>
          </w:p>
        </w:tc>
      </w:tr>
      <w:tr w:rsidR="00B67C3F">
        <w:tblPrEx>
          <w:tblCellMar>
            <w:top w:w="0" w:type="dxa"/>
            <w:bottom w:w="0" w:type="dxa"/>
          </w:tblCellMar>
        </w:tblPrEx>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08/2012/TT-BGTVT</w:t>
            </w: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Hướng dẫn thực hiện một số điều của Hiệp định giữa Chính phủ nước Cộng hòa xã hội chủ nghĩa Việt Nam và Chính phủ Hoàng gia Campuchia về vận tải thủy</w:t>
            </w: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23-03-2012</w:t>
            </w: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Bộ Giao thông vận tải</w:t>
            </w:r>
          </w:p>
        </w:tc>
      </w:tr>
      <w:tr w:rsidR="00B67C3F">
        <w:tblPrEx>
          <w:tblCellMar>
            <w:top w:w="0" w:type="dxa"/>
            <w:bottom w:w="0" w:type="dxa"/>
          </w:tblCellMar>
        </w:tblPrEx>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13/2023/TT-BGTVT</w:t>
            </w: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Sửa đổi, bổ sung một số điều của các Thông tư hướng dẫn thực hiện một số điều của Hiệp định giữa Chính phủ nước Cộng hòa xã hội chủ nghĩa Việt Nam và Chính phủ Hoàng gia Campuchia về vận tải đường thủy</w:t>
            </w: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30-06-2023</w:t>
            </w: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Bộ Giao thông vận tải</w:t>
            </w:r>
          </w:p>
        </w:tc>
      </w:tr>
      <w:tr w:rsidR="00B67C3F">
        <w:tblPrEx>
          <w:tblCellMar>
            <w:top w:w="0" w:type="dxa"/>
            <w:bottom w:w="0" w:type="dxa"/>
          </w:tblCellMar>
        </w:tblPrEx>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09/2025/TT-BXD</w:t>
            </w: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Thông tư sửa đổi, bổ sung một số điều của các Thông tư thuộc lĩnh vực quản lý nhà nước của Bộ Xây dựng liên quan đến sắp xếp tổ chức bộ máy, thực hiện chính quyền địa phương hai cấp và phân cấp cho chính quyền địa p</w:t>
            </w:r>
            <w:r>
              <w:rPr>
                <w:rFonts w:ascii="Times New Roman" w:eastAsia="Times New Roman" w:hAnsi="Times New Roman" w:cs="Times New Roman"/>
                <w:sz w:val="26"/>
              </w:rPr>
              <w:t>hương.</w:t>
            </w: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13-06-2025</w:t>
            </w:r>
          </w:p>
        </w:tc>
        <w:tc>
          <w:tcPr>
            <w:tcW w:w="0" w:type="auto"/>
          </w:tcPr>
          <w:p w:rsidR="00B67C3F" w:rsidRDefault="00B67C3F"/>
          <w:p w:rsidR="00B67C3F" w:rsidRDefault="000179C2">
            <w:pPr>
              <w:spacing w:after="0" w:line="276" w:lineRule="auto"/>
            </w:pPr>
            <w:r>
              <w:rPr>
                <w:rFonts w:ascii="Times New Roman" w:eastAsia="Times New Roman" w:hAnsi="Times New Roman" w:cs="Times New Roman"/>
                <w:sz w:val="26"/>
              </w:rPr>
              <w:t>Bộ Xây dựng</w:t>
            </w:r>
          </w:p>
        </w:tc>
      </w:tr>
    </w:tbl>
    <w:p w:rsidR="00B67C3F" w:rsidRDefault="000179C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B67C3F" w:rsidRDefault="000179C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B67C3F" w:rsidRDefault="000179C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B67C3F">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B67C3F"/>
    <w:rsid w:val="000179C2"/>
    <w:rsid w:val="00B67C3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5E4E20-7B17-4AA2-ABF0-3372581A7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509</Words>
  <Characters>2905</Characters>
  <Application>Microsoft Office Word</Application>
  <DocSecurity>0</DocSecurity>
  <Lines>24</Lines>
  <Paragraphs>6</Paragraphs>
  <ScaleCrop>false</ScaleCrop>
  <Company>Microsoft</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